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54" w:rsidRDefault="000C3F54" w:rsidP="000C3F54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  <w:i/>
          <w:iCs/>
          <w:color w:val="000000"/>
          <w:lang w:eastAsia="ru-RU" w:bidi="ru-RU"/>
        </w:rPr>
        <w:t>Упаковка и маркировка пряностей</w:t>
      </w:r>
    </w:p>
    <w:p w:rsidR="000C3F54" w:rsidRDefault="000C3F54" w:rsidP="000C3F54">
      <w:pPr>
        <w:pStyle w:val="1"/>
        <w:shd w:val="clear" w:color="auto" w:fill="auto"/>
        <w:ind w:left="740" w:firstLine="0"/>
        <w:jc w:val="both"/>
      </w:pPr>
      <w:r>
        <w:rPr>
          <w:color w:val="000000"/>
          <w:lang w:eastAsia="ru-RU" w:bidi="ru-RU"/>
        </w:rPr>
        <w:t>пакеты (одинарные) из комбинированных на основе бу</w:t>
      </w:r>
      <w:r>
        <w:rPr>
          <w:color w:val="000000"/>
          <w:lang w:eastAsia="ru-RU" w:bidi="ru-RU"/>
        </w:rPr>
        <w:softHyphen/>
        <w:t>маги или алюминиевой фольги термосваривающихся материалов;</w:t>
      </w:r>
    </w:p>
    <w:p w:rsidR="000C3F54" w:rsidRDefault="000C3F54" w:rsidP="000C3F54">
      <w:pPr>
        <w:pStyle w:val="1"/>
        <w:shd w:val="clear" w:color="auto" w:fill="auto"/>
        <w:ind w:left="740" w:firstLine="0"/>
        <w:jc w:val="both"/>
      </w:pPr>
      <w:r>
        <w:rPr>
          <w:color w:val="000000"/>
          <w:lang w:eastAsia="ru-RU" w:bidi="ru-RU"/>
        </w:rPr>
        <w:t>пакеты двойные: наружный пакет из бумаги, внутрен</w:t>
      </w:r>
      <w:r>
        <w:rPr>
          <w:color w:val="000000"/>
          <w:lang w:eastAsia="ru-RU" w:bidi="ru-RU"/>
        </w:rPr>
        <w:softHyphen/>
        <w:t>ний из пергамина или подпергамента;</w:t>
      </w:r>
    </w:p>
    <w:p w:rsidR="000C3F54" w:rsidRDefault="000C3F54" w:rsidP="000C3F54">
      <w:pPr>
        <w:pStyle w:val="1"/>
        <w:shd w:val="clear" w:color="auto" w:fill="auto"/>
        <w:ind w:left="740" w:firstLine="0"/>
        <w:jc w:val="both"/>
      </w:pPr>
      <w:r>
        <w:rPr>
          <w:color w:val="000000"/>
          <w:lang w:eastAsia="ru-RU" w:bidi="ru-RU"/>
        </w:rPr>
        <w:t>банки стеклянные для специй, укупоренные пластмас</w:t>
      </w:r>
      <w:r>
        <w:rPr>
          <w:color w:val="000000"/>
          <w:lang w:eastAsia="ru-RU" w:bidi="ru-RU"/>
        </w:rPr>
        <w:softHyphen/>
        <w:t>совыми крышками.</w:t>
      </w:r>
    </w:p>
    <w:p w:rsidR="004A1E6E" w:rsidRDefault="000C3F54" w:rsidP="000C3F54">
      <w:pPr>
        <w:pStyle w:val="1"/>
        <w:shd w:val="clear" w:color="auto" w:fill="auto"/>
        <w:spacing w:after="180"/>
        <w:ind w:firstLine="480"/>
        <w:jc w:val="both"/>
        <w:rPr>
          <w:color w:val="000000"/>
          <w:lang w:eastAsia="ru-RU" w:bidi="ru-RU"/>
        </w:rPr>
      </w:pPr>
      <w:r>
        <w:rPr>
          <w:noProof/>
        </w:rPr>
        <mc:AlternateContent>
          <mc:Choice Requires="wps">
            <w:drawing>
              <wp:anchor distT="50800" distB="0" distL="0" distR="0" simplePos="0" relativeHeight="251659264" behindDoc="0" locked="0" layoutInCell="1" allowOverlap="1" wp14:anchorId="08907231" wp14:editId="28797E1F">
                <wp:simplePos x="0" y="0"/>
                <wp:positionH relativeFrom="page">
                  <wp:posOffset>648335</wp:posOffset>
                </wp:positionH>
                <wp:positionV relativeFrom="margin">
                  <wp:posOffset>1533525</wp:posOffset>
                </wp:positionV>
                <wp:extent cx="3901440" cy="680085"/>
                <wp:effectExtent l="0" t="0" r="0" b="0"/>
                <wp:wrapTopAndBottom/>
                <wp:docPr id="121" name="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680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3F54" w:rsidRDefault="000C3F54" w:rsidP="000C3F54">
                            <w:pPr>
                              <w:pStyle w:val="1"/>
                              <w:shd w:val="clear" w:color="auto" w:fill="auto"/>
                              <w:ind w:firstLine="580"/>
                              <w:jc w:val="both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Для реализации в розничной сети пряности массой нетто до 100г упаковывают в следующие виды тары и упаковочных материалов: пачки из бумаги и картона с внутренним пакетом из пергамента или других материалов;</w:t>
                            </w:r>
                          </w:p>
                          <w:p w:rsidR="000C3F54" w:rsidRDefault="000C3F54" w:rsidP="000C3F54">
                            <w:pPr>
                              <w:pStyle w:val="30"/>
                              <w:shd w:val="clear" w:color="auto" w:fill="auto"/>
                              <w:spacing w:line="266" w:lineRule="auto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•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07231" id="_x0000_t202" coordsize="21600,21600" o:spt="202" path="m,l,21600r21600,l21600,xe">
                <v:stroke joinstyle="miter"/>
                <v:path gradientshapeok="t" o:connecttype="rect"/>
              </v:shapetype>
              <v:shape id="Shape 121" o:spid="_x0000_s1026" type="#_x0000_t202" style="position:absolute;left:0;text-align:left;margin-left:51.05pt;margin-top:120.75pt;width:307.2pt;height:53.55pt;z-index:251659264;visibility:visible;mso-wrap-style:square;mso-height-percent:0;mso-wrap-distance-left:0;mso-wrap-distance-top:4pt;mso-wrap-distance-right:0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" filled="f" stroked="f">
                <v:textbox inset="0,0,0,0">
                  <w:txbxContent>
                    <w:p w:rsidR="000C3F54" w:rsidRDefault="000C3F54" w:rsidP="000C3F54">
                      <w:pPr>
                        <w:pStyle w:val="1"/>
                        <w:shd w:val="clear" w:color="auto" w:fill="auto"/>
                        <w:ind w:firstLine="580"/>
                        <w:jc w:val="both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Для реализации в розничной сети пряности массой нетто до 100г упаковывают в следующие виды тары и упаковочных материалов: пачки из бумаги и картона с внутренним пакетом из пергамента или других материалов;</w:t>
                      </w:r>
                    </w:p>
                    <w:p w:rsidR="000C3F54" w:rsidRDefault="000C3F54" w:rsidP="000C3F54">
                      <w:pPr>
                        <w:pStyle w:val="30"/>
                        <w:shd w:val="clear" w:color="auto" w:fill="auto"/>
                        <w:spacing w:line="266" w:lineRule="auto"/>
                      </w:pPr>
                      <w:r>
                        <w:rPr>
                          <w:color w:val="000000"/>
                          <w:lang w:eastAsia="ru-RU" w:bidi="ru-RU"/>
                        </w:rPr>
                        <w:t>•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i/>
          <w:iCs/>
          <w:color w:val="000000"/>
          <w:lang w:eastAsia="ru-RU" w:bidi="ru-RU"/>
        </w:rPr>
        <w:t>Маркировка пряностей</w:t>
      </w:r>
      <w:r>
        <w:rPr>
          <w:color w:val="000000"/>
          <w:lang w:eastAsia="ru-RU" w:bidi="ru-RU"/>
        </w:rPr>
        <w:t xml:space="preserve"> проводится в соответствии с ГОСТ Р 51074-2003 «Продукты пищевые. Информация для по</w:t>
      </w:r>
      <w:r>
        <w:rPr>
          <w:color w:val="000000"/>
          <w:lang w:eastAsia="ru-RU" w:bidi="ru-RU"/>
        </w:rPr>
        <w:softHyphen/>
        <w:t>требителя» (приложение Б). Надписи должны быть четкими, легко читаемыми, без разночтений.</w:t>
      </w:r>
    </w:p>
    <w:p w:rsidR="000C3F54" w:rsidRDefault="000C3F54" w:rsidP="000C3F54">
      <w:pPr>
        <w:pStyle w:val="1"/>
        <w:shd w:val="clear" w:color="auto" w:fill="auto"/>
        <w:spacing w:after="180"/>
        <w:ind w:firstLine="480"/>
        <w:jc w:val="both"/>
        <w:rPr>
          <w:color w:val="000000"/>
          <w:lang w:eastAsia="ru-RU" w:bidi="ru-RU"/>
        </w:rPr>
      </w:pPr>
    </w:p>
    <w:p w:rsidR="000C3F54" w:rsidRDefault="000C3F54" w:rsidP="000C3F54">
      <w:pPr>
        <w:pStyle w:val="1"/>
        <w:shd w:val="clear" w:color="auto" w:fill="auto"/>
        <w:spacing w:after="180"/>
        <w:ind w:firstLine="480"/>
        <w:jc w:val="both"/>
      </w:pPr>
    </w:p>
    <w:p w:rsidR="000C3F54" w:rsidRDefault="000C3F54" w:rsidP="000C3F54">
      <w:pPr>
        <w:pStyle w:val="1"/>
        <w:shd w:val="clear" w:color="auto" w:fill="auto"/>
        <w:spacing w:after="180"/>
        <w:ind w:firstLine="4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Дефекты</w:t>
      </w:r>
    </w:p>
    <w:p w:rsidR="000C3F54" w:rsidRDefault="000C3F54" w:rsidP="000C3F54">
      <w:pPr>
        <w:pStyle w:val="1"/>
        <w:shd w:val="clear" w:color="auto" w:fill="auto"/>
        <w:spacing w:after="180"/>
        <w:ind w:firstLine="480"/>
        <w:jc w:val="both"/>
      </w:pPr>
      <w:r>
        <w:rPr>
          <w:color w:val="000000"/>
          <w:lang w:eastAsia="ru-RU" w:bidi="ru-RU"/>
        </w:rPr>
        <w:t>недостаточно выраженный вкус и аромат, посторонние запахи и привкусы, повышенное содержание</w:t>
      </w:r>
    </w:p>
    <w:p w:rsidR="000C3F54" w:rsidRDefault="000C3F54" w:rsidP="000C3F54">
      <w:pPr>
        <w:pStyle w:val="1"/>
        <w:shd w:val="clear" w:color="auto" w:fill="auto"/>
        <w:spacing w:line="252" w:lineRule="auto"/>
        <w:ind w:left="740" w:firstLine="0"/>
      </w:pPr>
      <w:r>
        <w:rPr>
          <w:color w:val="000000"/>
          <w:lang w:eastAsia="ru-RU" w:bidi="ru-RU"/>
        </w:rPr>
        <w:t>органических и минеральных примесей, ферропримесей,</w:t>
      </w:r>
    </w:p>
    <w:p w:rsidR="000C3F54" w:rsidRDefault="000C3F54" w:rsidP="000C3F54">
      <w:pPr>
        <w:pStyle w:val="1"/>
        <w:shd w:val="clear" w:color="auto" w:fill="auto"/>
        <w:ind w:firstLine="580"/>
        <w:rPr>
          <w:color w:val="000000"/>
          <w:lang w:eastAsia="ru-RU" w:bidi="ru-RU"/>
        </w:rPr>
      </w:pPr>
    </w:p>
    <w:p w:rsidR="000C3F54" w:rsidRDefault="000C3F54" w:rsidP="000C3F54">
      <w:pPr>
        <w:pStyle w:val="1"/>
        <w:shd w:val="clear" w:color="auto" w:fill="auto"/>
        <w:ind w:firstLine="580"/>
      </w:pPr>
      <w:r>
        <w:rPr>
          <w:color w:val="000000"/>
          <w:lang w:eastAsia="ru-RU" w:bidi="ru-RU"/>
        </w:rPr>
        <w:t xml:space="preserve">Наиболее часто встречающимися </w:t>
      </w:r>
      <w:r>
        <w:rPr>
          <w:b/>
          <w:bCs/>
          <w:i/>
          <w:iCs/>
          <w:color w:val="000000"/>
          <w:lang w:eastAsia="ru-RU" w:bidi="ru-RU"/>
        </w:rPr>
        <w:t xml:space="preserve">дефектами пряностей </w:t>
      </w:r>
      <w:r>
        <w:rPr>
          <w:color w:val="000000"/>
          <w:lang w:eastAsia="ru-RU" w:bidi="ru-RU"/>
        </w:rPr>
        <w:t>считаются:</w:t>
      </w:r>
    </w:p>
    <w:p w:rsidR="000C3F54" w:rsidRDefault="000C3F54" w:rsidP="000C3F54">
      <w:pPr>
        <w:pStyle w:val="1"/>
        <w:shd w:val="clear" w:color="auto" w:fill="auto"/>
        <w:spacing w:line="252" w:lineRule="auto"/>
        <w:ind w:left="740" w:firstLine="0"/>
        <w:jc w:val="both"/>
      </w:pPr>
      <w:r>
        <w:rPr>
          <w:color w:val="000000"/>
          <w:lang w:eastAsia="ru-RU" w:bidi="ru-RU"/>
        </w:rPr>
        <w:t>наличие лома и крошки в количестве выше допустимых норм,</w:t>
      </w:r>
    </w:p>
    <w:p w:rsidR="000C3F54" w:rsidRDefault="000C3F54" w:rsidP="000C3F54">
      <w:pPr>
        <w:pStyle w:val="1"/>
        <w:shd w:val="clear" w:color="auto" w:fill="auto"/>
        <w:spacing w:after="220" w:line="252" w:lineRule="auto"/>
        <w:ind w:firstLine="740"/>
      </w:pPr>
      <w:r>
        <w:rPr>
          <w:color w:val="000000"/>
          <w:lang w:eastAsia="ru-RU" w:bidi="ru-RU"/>
        </w:rPr>
        <w:t>крупность помола.</w:t>
      </w:r>
    </w:p>
    <w:p w:rsidR="000C3F54" w:rsidRDefault="000C3F54" w:rsidP="000C3F54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  <w:i/>
          <w:iCs/>
          <w:color w:val="000000"/>
          <w:lang w:eastAsia="ru-RU" w:bidi="ru-RU"/>
        </w:rPr>
        <w:t>Оценка качества пряностей</w:t>
      </w:r>
    </w:p>
    <w:p w:rsidR="000C3F54" w:rsidRDefault="000C3F54" w:rsidP="000C3F54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Оценка качества пряностей проводится по органолепти</w:t>
      </w:r>
      <w:r>
        <w:rPr>
          <w:color w:val="000000"/>
          <w:lang w:eastAsia="ru-RU" w:bidi="ru-RU"/>
        </w:rPr>
        <w:softHyphen/>
        <w:t>ческим, физико-химическим, микробиологическим и показате</w:t>
      </w:r>
      <w:r>
        <w:rPr>
          <w:color w:val="000000"/>
          <w:lang w:eastAsia="ru-RU" w:bidi="ru-RU"/>
        </w:rPr>
        <w:softHyphen/>
        <w:t xml:space="preserve">лям </w:t>
      </w:r>
      <w:r>
        <w:rPr>
          <w:color w:val="000000"/>
          <w:lang w:eastAsia="ru-RU" w:bidi="ru-RU"/>
        </w:rPr>
        <w:t>безопасности.</w:t>
      </w:r>
    </w:p>
    <w:p w:rsidR="000C3F54" w:rsidRDefault="000C3F54" w:rsidP="000C3F54">
      <w:pPr>
        <w:pStyle w:val="1"/>
        <w:shd w:val="clear" w:color="auto" w:fill="auto"/>
        <w:ind w:firstLine="580"/>
        <w:jc w:val="both"/>
      </w:pPr>
      <w:r>
        <w:rPr>
          <w:b/>
          <w:bCs/>
          <w:i/>
          <w:iCs/>
          <w:color w:val="000000"/>
          <w:lang w:eastAsia="ru-RU" w:bidi="ru-RU"/>
        </w:rPr>
        <w:t xml:space="preserve">Органолептическая оценка </w:t>
      </w:r>
      <w:r>
        <w:rPr>
          <w:i/>
          <w:iCs/>
          <w:color w:val="000000"/>
          <w:lang w:eastAsia="ru-RU" w:bidi="ru-RU"/>
        </w:rPr>
        <w:t>пряностей</w:t>
      </w:r>
      <w:r>
        <w:rPr>
          <w:color w:val="000000"/>
          <w:lang w:eastAsia="ru-RU" w:bidi="ru-RU"/>
        </w:rPr>
        <w:t xml:space="preserve"> включает в себя оценку внешнего вида, формы, состояния поверхности, целост</w:t>
      </w:r>
      <w:r>
        <w:rPr>
          <w:color w:val="000000"/>
          <w:lang w:eastAsia="ru-RU" w:bidi="ru-RU"/>
        </w:rPr>
        <w:softHyphen/>
        <w:t>ность, чистоту, аромат и вкус пряностей.</w:t>
      </w:r>
    </w:p>
    <w:p w:rsidR="000C3F54" w:rsidRDefault="000C3F54" w:rsidP="000C3F54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Внешний вид, цвет, аромат и вкус определяют в части объединенной пробы массой 50,0г.</w:t>
      </w:r>
    </w:p>
    <w:p w:rsidR="000C3F54" w:rsidRDefault="000C3F54" w:rsidP="000C3F54">
      <w:pPr>
        <w:pStyle w:val="1"/>
        <w:shd w:val="clear" w:color="auto" w:fill="auto"/>
        <w:ind w:firstLine="580"/>
        <w:jc w:val="both"/>
      </w:pPr>
      <w:r>
        <w:rPr>
          <w:i/>
          <w:iCs/>
          <w:color w:val="000000"/>
          <w:lang w:eastAsia="ru-RU" w:bidi="ru-RU"/>
        </w:rPr>
        <w:t>Внешний вид</w:t>
      </w:r>
      <w:r>
        <w:rPr>
          <w:color w:val="000000"/>
          <w:lang w:eastAsia="ru-RU" w:bidi="ru-RU"/>
        </w:rPr>
        <w:t xml:space="preserve"> определяют визуально, поместив навеску с пряностями на лист белой бумаги.</w:t>
      </w:r>
    </w:p>
    <w:p w:rsidR="000C3F54" w:rsidRDefault="000C3F54" w:rsidP="000C3F54">
      <w:pPr>
        <w:pStyle w:val="1"/>
        <w:shd w:val="clear" w:color="auto" w:fill="auto"/>
        <w:ind w:firstLine="0"/>
        <w:jc w:val="center"/>
      </w:pPr>
      <w:r>
        <w:rPr>
          <w:i/>
          <w:iCs/>
          <w:color w:val="000000"/>
          <w:lang w:eastAsia="ru-RU" w:bidi="ru-RU"/>
        </w:rPr>
        <w:t>Размер пряностей</w:t>
      </w:r>
      <w:r>
        <w:rPr>
          <w:color w:val="000000"/>
          <w:lang w:eastAsia="ru-RU" w:bidi="ru-RU"/>
        </w:rPr>
        <w:t xml:space="preserve"> определяют с помощью линейки.</w:t>
      </w:r>
    </w:p>
    <w:p w:rsidR="000C3F54" w:rsidRDefault="000C3F54" w:rsidP="000C3F54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 xml:space="preserve">При определении </w:t>
      </w:r>
      <w:r>
        <w:rPr>
          <w:i/>
          <w:iCs/>
          <w:color w:val="000000"/>
          <w:lang w:eastAsia="ru-RU" w:bidi="ru-RU"/>
        </w:rPr>
        <w:t>цвета</w:t>
      </w:r>
      <w:r>
        <w:rPr>
          <w:color w:val="000000"/>
          <w:lang w:eastAsia="ru-RU" w:bidi="ru-RU"/>
        </w:rPr>
        <w:t xml:space="preserve"> устанавливают отклонения от цвета, специфического для данной пряности.</w:t>
      </w:r>
    </w:p>
    <w:p w:rsidR="000C3F54" w:rsidRDefault="000C3F54" w:rsidP="000C3F54">
      <w:pPr>
        <w:pStyle w:val="1"/>
        <w:shd w:val="clear" w:color="auto" w:fill="auto"/>
        <w:ind w:firstLine="580"/>
        <w:jc w:val="both"/>
      </w:pPr>
      <w:r>
        <w:rPr>
          <w:i/>
          <w:iCs/>
          <w:color w:val="000000"/>
          <w:lang w:eastAsia="ru-RU" w:bidi="ru-RU"/>
        </w:rPr>
        <w:t>Запах</w:t>
      </w:r>
      <w:r>
        <w:rPr>
          <w:color w:val="000000"/>
          <w:lang w:eastAsia="ru-RU" w:bidi="ru-RU"/>
        </w:rPr>
        <w:t xml:space="preserve"> - специфический, пряный, свойственный каждому виду пряностей. Лишь душистый перец и гвоздика близки по аромату.</w:t>
      </w:r>
    </w:p>
    <w:p w:rsidR="000C3F54" w:rsidRDefault="000C3F54" w:rsidP="000C3F54">
      <w:pPr>
        <w:pStyle w:val="1"/>
        <w:shd w:val="clear" w:color="auto" w:fill="auto"/>
        <w:ind w:firstLine="580"/>
        <w:jc w:val="both"/>
      </w:pPr>
      <w:r>
        <w:rPr>
          <w:i/>
          <w:iCs/>
          <w:color w:val="000000"/>
          <w:lang w:eastAsia="ru-RU" w:bidi="ru-RU"/>
        </w:rPr>
        <w:t>Вкус</w:t>
      </w:r>
      <w:r>
        <w:rPr>
          <w:color w:val="000000"/>
          <w:lang w:eastAsia="ru-RU" w:bidi="ru-RU"/>
        </w:rPr>
        <w:t xml:space="preserve"> большинства пряностей горьковатый или горький с ощущением жгучести.</w:t>
      </w:r>
    </w:p>
    <w:p w:rsidR="000C3F54" w:rsidRDefault="000C3F54" w:rsidP="000C3F54">
      <w:pPr>
        <w:pStyle w:val="1"/>
        <w:shd w:val="clear" w:color="auto" w:fill="auto"/>
        <w:ind w:firstLine="580"/>
        <w:jc w:val="both"/>
      </w:pPr>
      <w:r>
        <w:rPr>
          <w:i/>
          <w:iCs/>
          <w:color w:val="000000"/>
          <w:lang w:eastAsia="ru-RU" w:bidi="ru-RU"/>
        </w:rPr>
        <w:t>Запах и вкус</w:t>
      </w:r>
      <w:r>
        <w:rPr>
          <w:color w:val="000000"/>
          <w:lang w:eastAsia="ru-RU" w:bidi="ru-RU"/>
        </w:rPr>
        <w:t xml:space="preserve"> пряности определяют апробированием само</w:t>
      </w:r>
      <w:r>
        <w:rPr>
          <w:color w:val="000000"/>
          <w:lang w:eastAsia="ru-RU" w:bidi="ru-RU"/>
        </w:rPr>
        <w:softHyphen/>
        <w:t>го продукта или его водной вытяжки.</w:t>
      </w:r>
    </w:p>
    <w:p w:rsidR="000C3F54" w:rsidRDefault="000C3F54" w:rsidP="000C3F54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Водную вытяжку готовят, заливая 1,0г измельченной пряности в стакане емкостью 200см</w:t>
      </w:r>
      <w:r>
        <w:rPr>
          <w:color w:val="000000"/>
          <w:vertAlign w:val="superscript"/>
          <w:lang w:eastAsia="ru-RU" w:bidi="ru-RU"/>
        </w:rPr>
        <w:t>3</w:t>
      </w:r>
      <w:r>
        <w:rPr>
          <w:color w:val="000000"/>
          <w:lang w:eastAsia="ru-RU" w:bidi="ru-RU"/>
        </w:rPr>
        <w:t>, кипящей водой в количе</w:t>
      </w:r>
      <w:r>
        <w:rPr>
          <w:color w:val="000000"/>
          <w:lang w:eastAsia="ru-RU" w:bidi="ru-RU"/>
        </w:rPr>
        <w:softHyphen/>
      </w:r>
      <w:r w:rsidRPr="000C3F5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стве 100см</w:t>
      </w:r>
      <w:r>
        <w:rPr>
          <w:color w:val="000000"/>
          <w:vertAlign w:val="superscript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и сразу же определяют запах. Вкус определяют ап</w:t>
      </w:r>
      <w:r>
        <w:rPr>
          <w:color w:val="000000"/>
          <w:lang w:eastAsia="ru-RU" w:bidi="ru-RU"/>
        </w:rPr>
        <w:softHyphen/>
        <w:t>робированием настоя или самого продукта через 5-7 минут.</w:t>
      </w:r>
    </w:p>
    <w:p w:rsidR="000C3F54" w:rsidRDefault="000C3F54" w:rsidP="000C3F54">
      <w:pPr>
        <w:pStyle w:val="1"/>
        <w:shd w:val="clear" w:color="auto" w:fill="auto"/>
        <w:ind w:firstLine="580"/>
        <w:jc w:val="both"/>
      </w:pPr>
      <w:r>
        <w:rPr>
          <w:i/>
          <w:iCs/>
          <w:color w:val="000000"/>
          <w:lang w:eastAsia="ru-RU" w:bidi="ru-RU"/>
        </w:rPr>
        <w:t>Наличие неполноценных плодов и семян, полых и легко</w:t>
      </w:r>
      <w:r>
        <w:rPr>
          <w:i/>
          <w:iCs/>
          <w:color w:val="000000"/>
          <w:lang w:eastAsia="ru-RU" w:bidi="ru-RU"/>
        </w:rPr>
        <w:softHyphen/>
        <w:t>весных</w:t>
      </w:r>
      <w:r>
        <w:rPr>
          <w:color w:val="000000"/>
          <w:lang w:eastAsia="ru-RU" w:bidi="ru-RU"/>
        </w:rPr>
        <w:t>, определяют путем погружения исследуемой пряности в воду или спирт. Легкие, полые, изъеденные зерна при этом всплывают на поверхность.</w:t>
      </w:r>
    </w:p>
    <w:p w:rsidR="000C3F54" w:rsidRDefault="000C3F54" w:rsidP="000C3F54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 xml:space="preserve">Для определения </w:t>
      </w:r>
      <w:r>
        <w:rPr>
          <w:i/>
          <w:iCs/>
          <w:color w:val="000000"/>
          <w:lang w:eastAsia="ru-RU" w:bidi="ru-RU"/>
        </w:rPr>
        <w:t>повреждений пряностей, наличия при</w:t>
      </w:r>
      <w:r>
        <w:rPr>
          <w:i/>
          <w:iCs/>
          <w:color w:val="000000"/>
          <w:lang w:eastAsia="ru-RU" w:bidi="ru-RU"/>
        </w:rPr>
        <w:softHyphen/>
        <w:t>месей</w:t>
      </w:r>
      <w:r>
        <w:rPr>
          <w:color w:val="000000"/>
          <w:lang w:eastAsia="ru-RU" w:bidi="ru-RU"/>
        </w:rPr>
        <w:t xml:space="preserve"> из средней пробы отбирают образец массой 100г и рас</w:t>
      </w:r>
      <w:r>
        <w:rPr>
          <w:color w:val="000000"/>
          <w:lang w:eastAsia="ru-RU" w:bidi="ru-RU"/>
        </w:rPr>
        <w:softHyphen/>
        <w:t>сматривают пряности на разборной доске, выделяя полноцен</w:t>
      </w:r>
      <w:r>
        <w:rPr>
          <w:color w:val="000000"/>
          <w:lang w:eastAsia="ru-RU" w:bidi="ru-RU"/>
        </w:rPr>
        <w:softHyphen/>
        <w:t>ные, с механическими повреждениями, поврежденные болез</w:t>
      </w:r>
      <w:r>
        <w:rPr>
          <w:color w:val="000000"/>
          <w:lang w:eastAsia="ru-RU" w:bidi="ru-RU"/>
        </w:rPr>
        <w:softHyphen/>
        <w:t>нями (плесенью, гнилью и др.), а также вредителями (сорную, органическую и минеральную примеси). Каждую фракцию взвешивают, выражают в процентах, сравнивают с требования</w:t>
      </w:r>
      <w:r>
        <w:rPr>
          <w:color w:val="000000"/>
          <w:lang w:eastAsia="ru-RU" w:bidi="ru-RU"/>
        </w:rPr>
        <w:softHyphen/>
        <w:t>ми стандарта.</w:t>
      </w:r>
    </w:p>
    <w:p w:rsidR="000C3F54" w:rsidRDefault="000C3F54" w:rsidP="000C3F54">
      <w:pPr>
        <w:pStyle w:val="1"/>
        <w:shd w:val="clear" w:color="auto" w:fill="auto"/>
        <w:spacing w:after="120"/>
        <w:ind w:firstLine="580"/>
        <w:jc w:val="both"/>
      </w:pPr>
      <w:r>
        <w:rPr>
          <w:color w:val="000000"/>
          <w:lang w:eastAsia="ru-RU" w:bidi="ru-RU"/>
        </w:rPr>
        <w:t>В случае, если одно зерно, корень, лист, почка имеет не</w:t>
      </w:r>
      <w:r>
        <w:rPr>
          <w:color w:val="000000"/>
          <w:lang w:eastAsia="ru-RU" w:bidi="ru-RU"/>
        </w:rPr>
        <w:softHyphen/>
        <w:t>сколько дефектов, его относят к дефекту, который в стандарте имеет меньший допуск в процентах.</w:t>
      </w:r>
    </w:p>
    <w:p w:rsidR="000C3F54" w:rsidRDefault="000C3F54" w:rsidP="000C3F54">
      <w:pPr>
        <w:pStyle w:val="1"/>
        <w:shd w:val="clear" w:color="auto" w:fill="auto"/>
        <w:ind w:firstLine="580"/>
        <w:jc w:val="both"/>
        <w:sectPr w:rsidR="000C3F54">
          <w:footerReference w:type="default" r:id="rId4"/>
          <w:pgSz w:w="16840" w:h="11900" w:orient="landscape"/>
          <w:pgMar w:top="1108" w:right="1080" w:bottom="916" w:left="1078" w:header="680" w:footer="3" w:gutter="0"/>
          <w:pgNumType w:start="49"/>
          <w:cols w:num="2" w:space="2359"/>
          <w:noEndnote/>
          <w:docGrid w:linePitch="360"/>
        </w:sectPr>
      </w:pPr>
    </w:p>
    <w:p w:rsidR="000C3F54" w:rsidRDefault="000C3F54" w:rsidP="000C3F54">
      <w:pPr>
        <w:pStyle w:val="1"/>
        <w:shd w:val="clear" w:color="auto" w:fill="auto"/>
        <w:spacing w:after="180"/>
        <w:ind w:firstLine="480"/>
        <w:jc w:val="both"/>
      </w:pPr>
      <w:bookmarkStart w:id="0" w:name="_GoBack"/>
      <w:bookmarkEnd w:id="0"/>
    </w:p>
    <w:sectPr w:rsidR="000C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96" w:rsidRDefault="000C3F5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93C93FC" wp14:editId="7405E3F0">
              <wp:simplePos x="0" y="0"/>
              <wp:positionH relativeFrom="page">
                <wp:posOffset>2551430</wp:posOffset>
              </wp:positionH>
              <wp:positionV relativeFrom="page">
                <wp:posOffset>7055485</wp:posOffset>
              </wp:positionV>
              <wp:extent cx="5833745" cy="85090"/>
              <wp:effectExtent l="0" t="0" r="0" b="0"/>
              <wp:wrapNone/>
              <wp:docPr id="125" name="Shape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374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3D96" w:rsidRDefault="000C3F54">
                          <w:pPr>
                            <w:pStyle w:val="20"/>
                            <w:shd w:val="clear" w:color="auto" w:fill="auto"/>
                            <w:tabs>
                              <w:tab w:val="right" w:pos="9187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0"/>
                              <w:lang w:eastAsia="ru-RU" w:bidi="ru-RU"/>
                            </w:rPr>
                            <w:tab/>
                            <w:t>50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C93FC" id="_x0000_t202" coordsize="21600,21600" o:spt="202" path="m,l,21600r21600,l21600,xe">
              <v:stroke joinstyle="miter"/>
              <v:path gradientshapeok="t" o:connecttype="rect"/>
            </v:shapetype>
            <v:shape id="Shape 125" o:spid="_x0000_s1027" type="#_x0000_t202" style="position:absolute;margin-left:200.9pt;margin-top:555.55pt;width:459.35pt;height:6.7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" filled="f" stroked="f">
              <v:textbox style="mso-fit-shape-to-text:t" inset="0,0,0,0">
                <w:txbxContent>
                  <w:p w:rsidR="00D13D96" w:rsidRDefault="000C3F54">
                    <w:pPr>
                      <w:pStyle w:val="20"/>
                      <w:shd w:val="clear" w:color="auto" w:fill="auto"/>
                      <w:tabs>
                        <w:tab w:val="right" w:pos="9187"/>
                      </w:tabs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50</w:t>
                    </w:r>
                    <w:r>
                      <w:fldChar w:fldCharType="end"/>
                    </w:r>
                    <w:r>
                      <w:rPr>
                        <w:color w:val="000000"/>
                        <w:lang w:eastAsia="ru-RU" w:bidi="ru-RU"/>
                      </w:rPr>
                      <w:tab/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45"/>
    <w:rsid w:val="000C3F54"/>
    <w:rsid w:val="00320345"/>
    <w:rsid w:val="004A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DC27F-7EF9-49BF-9073-76AFBF06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3F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C3F5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0C3F5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C3F54"/>
    <w:pPr>
      <w:widowControl w:val="0"/>
      <w:shd w:val="clear" w:color="auto" w:fill="FFFFFF"/>
      <w:spacing w:after="0" w:line="240" w:lineRule="auto"/>
      <w:ind w:firstLine="380"/>
    </w:pPr>
    <w:rPr>
      <w:rFonts w:ascii="Arial" w:eastAsia="Arial" w:hAnsi="Arial" w:cs="Arial"/>
      <w:sz w:val="20"/>
      <w:szCs w:val="20"/>
    </w:rPr>
  </w:style>
  <w:style w:type="character" w:customStyle="1" w:styleId="2">
    <w:name w:val="Колонтитул (2)_"/>
    <w:basedOn w:val="a0"/>
    <w:link w:val="20"/>
    <w:rsid w:val="000C3F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0C3F5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2020-06-08T10:59:00Z</dcterms:created>
  <dcterms:modified xsi:type="dcterms:W3CDTF">2020-06-08T11:05:00Z</dcterms:modified>
</cp:coreProperties>
</file>