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BE" w:rsidRPr="00612146" w:rsidRDefault="000D6CBE" w:rsidP="000D6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46">
        <w:rPr>
          <w:rFonts w:ascii="Times New Roman" w:hAnsi="Times New Roman" w:cs="Times New Roman"/>
          <w:b/>
          <w:sz w:val="24"/>
          <w:szCs w:val="24"/>
        </w:rPr>
        <w:t>Элементы теории вероятностей и математической статистики.</w:t>
      </w:r>
    </w:p>
    <w:p w:rsidR="000D6CBE" w:rsidRPr="00612146" w:rsidRDefault="000D6CBE" w:rsidP="000D6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CBE">
        <w:rPr>
          <w:rFonts w:ascii="Times New Roman" w:hAnsi="Times New Roman" w:cs="Times New Roman"/>
          <w:b/>
          <w:i/>
          <w:sz w:val="24"/>
          <w:szCs w:val="24"/>
        </w:rPr>
        <w:t>Практическое занятие 74.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146">
        <w:rPr>
          <w:rFonts w:ascii="Times New Roman" w:hAnsi="Times New Roman" w:cs="Times New Roman"/>
          <w:b/>
          <w:sz w:val="24"/>
          <w:szCs w:val="24"/>
        </w:rPr>
        <w:t xml:space="preserve">Событие, вероятность события. </w:t>
      </w:r>
    </w:p>
    <w:p w:rsidR="000D6CBE" w:rsidRDefault="000D6CBE" w:rsidP="000D6CBE">
      <w:pPr>
        <w:spacing w:after="0" w:line="240" w:lineRule="auto"/>
        <w:jc w:val="center"/>
      </w:pPr>
    </w:p>
    <w:p w:rsidR="000D6CBE" w:rsidRDefault="00D86A40" w:rsidP="00776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D6CBE" w:rsidRPr="0077680E">
          <w:rPr>
            <w:rStyle w:val="a3"/>
            <w:rFonts w:ascii="Times New Roman" w:hAnsi="Times New Roman" w:cs="Times New Roman"/>
            <w:sz w:val="24"/>
            <w:szCs w:val="24"/>
          </w:rPr>
          <w:t>https://www.mathelp.spb.ru/book2/tv4.htm</w:t>
        </w:r>
      </w:hyperlink>
      <w:r w:rsidR="000D6CBE" w:rsidRPr="0077680E">
        <w:rPr>
          <w:rFonts w:ascii="Times New Roman" w:hAnsi="Times New Roman" w:cs="Times New Roman"/>
          <w:sz w:val="24"/>
          <w:szCs w:val="24"/>
        </w:rPr>
        <w:t xml:space="preserve"> - теория, примеры.</w:t>
      </w:r>
    </w:p>
    <w:p w:rsidR="00473126" w:rsidRPr="0077680E" w:rsidRDefault="00473126" w:rsidP="00776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>
        <w:rPr>
          <w:color w:val="000000"/>
          <w:u w:val="single"/>
        </w:rPr>
        <w:t>З</w:t>
      </w:r>
      <w:r w:rsidRPr="00473126">
        <w:rPr>
          <w:color w:val="000000"/>
          <w:u w:val="single"/>
        </w:rPr>
        <w:t>адача 1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В урне находится 15 белых, 5 красных и 10 чёрных шаров. Наугад извлекается 1 шар, найти вероятность того, что он будет: а) белым, б) красным, в) чёрным.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rStyle w:val="a8"/>
          <w:color w:val="000000"/>
        </w:rPr>
        <w:t>Решение</w:t>
      </w:r>
      <w:r w:rsidRPr="00473126">
        <w:rPr>
          <w:color w:val="000000"/>
        </w:rPr>
        <w:t>: важнейшей предпосылкой  для использования классического определения вероятности является </w:t>
      </w:r>
      <w:r w:rsidRPr="00473126">
        <w:rPr>
          <w:rStyle w:val="a8"/>
          <w:color w:val="000000"/>
        </w:rPr>
        <w:t>возможность подсчёта общего количества исходов</w:t>
      </w:r>
      <w:r w:rsidRPr="00473126">
        <w:rPr>
          <w:color w:val="000000"/>
        </w:rPr>
        <w:t>.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Всего в урне: 15 + 5 + 10 = 30 шаров, и, очевидно, справедливы следующие факты: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– извлечение любого шара одинаково возможно </w:t>
      </w:r>
      <w:r w:rsidRPr="00473126">
        <w:rPr>
          <w:rStyle w:val="a5"/>
          <w:color w:val="000000"/>
        </w:rPr>
        <w:t>(</w:t>
      </w:r>
      <w:proofErr w:type="spellStart"/>
      <w:r w:rsidRPr="00473126">
        <w:rPr>
          <w:rStyle w:val="a8"/>
          <w:i/>
          <w:iCs/>
          <w:color w:val="000000"/>
        </w:rPr>
        <w:t>равновозможность</w:t>
      </w:r>
      <w:proofErr w:type="spellEnd"/>
      <w:r w:rsidRPr="00473126">
        <w:rPr>
          <w:rStyle w:val="a8"/>
          <w:i/>
          <w:iCs/>
          <w:color w:val="000000"/>
        </w:rPr>
        <w:t> </w:t>
      </w:r>
      <w:r w:rsidRPr="00473126">
        <w:rPr>
          <w:rStyle w:val="a5"/>
          <w:color w:val="000000"/>
        </w:rPr>
        <w:t>исходов)</w:t>
      </w:r>
      <w:r w:rsidRPr="00473126">
        <w:rPr>
          <w:color w:val="000000"/>
        </w:rPr>
        <w:t>, при этом исходы </w:t>
      </w:r>
      <w:r w:rsidRPr="00473126">
        <w:rPr>
          <w:rStyle w:val="a5"/>
          <w:b/>
          <w:bCs/>
          <w:color w:val="000000"/>
        </w:rPr>
        <w:t>элементарны</w:t>
      </w:r>
      <w:r w:rsidRPr="00473126">
        <w:rPr>
          <w:color w:val="000000"/>
        </w:rPr>
        <w:t> и образуют </w:t>
      </w:r>
      <w:r w:rsidRPr="00473126">
        <w:rPr>
          <w:rStyle w:val="a5"/>
          <w:b/>
          <w:bCs/>
          <w:color w:val="000000"/>
        </w:rPr>
        <w:t>полную группу событий</w:t>
      </w:r>
      <w:r w:rsidRPr="00473126">
        <w:rPr>
          <w:color w:val="000000"/>
        </w:rPr>
        <w:t> </w:t>
      </w:r>
      <w:r w:rsidRPr="00473126">
        <w:rPr>
          <w:rStyle w:val="a5"/>
          <w:color w:val="000000"/>
        </w:rPr>
        <w:t>(т.е. в результате испытания обязательно будет извлечён какой-то один из 30 шаров)</w:t>
      </w:r>
      <w:r w:rsidRPr="00473126">
        <w:rPr>
          <w:color w:val="000000"/>
        </w:rPr>
        <w:t>.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Таким образом, общее число исходов: </w:t>
      </w:r>
      <w:r w:rsidRPr="00473126">
        <w:rPr>
          <w:noProof/>
          <w:color w:val="000000"/>
        </w:rPr>
        <w:drawing>
          <wp:inline distT="0" distB="0" distL="0" distR="0">
            <wp:extent cx="428625" cy="180975"/>
            <wp:effectExtent l="19050" t="0" r="0" b="0"/>
            <wp:docPr id="41" name="Рисунок 41" descr="http://mathprofi.ru/m/zadachi_na_klassicheskoe_opredelenie_verojatnosti_primery_reshenij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profi.ru/m/zadachi_na_klassicheskoe_opredelenie_verojatnosti_primery_reshenij_clip_image01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Рассмотрим событие: </w:t>
      </w:r>
      <w:r w:rsidRPr="00473126">
        <w:rPr>
          <w:noProof/>
          <w:color w:val="000000"/>
        </w:rPr>
        <w:drawing>
          <wp:inline distT="0" distB="0" distL="0" distR="0">
            <wp:extent cx="152400" cy="161925"/>
            <wp:effectExtent l="19050" t="0" r="0" b="0"/>
            <wp:docPr id="42" name="Рисунок 42" descr="http://mathprofi.ru/m/zadachi_na_klassicheskoe_opredelenie_verojatnosti_primery_reshenij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m/zadachi_na_klassicheskoe_opredelenie_verojatnosti_primery_reshenij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126">
        <w:rPr>
          <w:color w:val="000000"/>
        </w:rPr>
        <w:t> – из урны будет извлечён белый шар. Данному событию благоприятствуют </w:t>
      </w:r>
      <w:r w:rsidRPr="00473126">
        <w:rPr>
          <w:noProof/>
          <w:color w:val="000000"/>
        </w:rPr>
        <w:drawing>
          <wp:inline distT="0" distB="0" distL="0" distR="0">
            <wp:extent cx="447675" cy="180975"/>
            <wp:effectExtent l="19050" t="0" r="9525" b="0"/>
            <wp:docPr id="43" name="Рисунок 43" descr="http://mathprofi.ru/m/zadachi_na_klassicheskoe_opredelenie_verojatnosti_primery_reshenij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m/zadachi_na_klassicheskoe_opredelenie_verojatnosti_primery_reshenij_clip_image01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126">
        <w:rPr>
          <w:color w:val="000000"/>
        </w:rPr>
        <w:t> </w:t>
      </w:r>
      <w:r w:rsidRPr="00473126">
        <w:rPr>
          <w:color w:val="000000"/>
          <w:u w:val="single"/>
        </w:rPr>
        <w:t>элементарных</w:t>
      </w:r>
      <w:r w:rsidRPr="00473126">
        <w:rPr>
          <w:color w:val="000000"/>
        </w:rPr>
        <w:t> исходов, поэтому по классическому определению:</w:t>
      </w:r>
      <w:r w:rsidRPr="00473126">
        <w:rPr>
          <w:color w:val="000000"/>
        </w:rPr>
        <w:br/>
      </w:r>
      <w:r w:rsidRPr="00473126">
        <w:rPr>
          <w:noProof/>
          <w:color w:val="000000"/>
        </w:rPr>
        <w:drawing>
          <wp:inline distT="0" distB="0" distL="0" distR="0">
            <wp:extent cx="1228725" cy="390525"/>
            <wp:effectExtent l="0" t="0" r="9525" b="0"/>
            <wp:docPr id="44" name="Рисунок 44" descr="http://mathprofi.ru/m/zadachi_na_klassicheskoe_opredelenie_verojatnosti_primery_reshenij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m/zadachi_na_klassicheskoe_opredelenie_verojatnosti_primery_reshenij_clip_image01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126">
        <w:rPr>
          <w:color w:val="000000"/>
        </w:rPr>
        <w:t> – вероятность того, то из урны будет извлечён белый шар.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Как ни странно, даже в такой простой задаче можно допустить серьёзную неточность</w:t>
      </w:r>
      <w:r w:rsidR="008E0D4B">
        <w:rPr>
          <w:color w:val="000000"/>
        </w:rPr>
        <w:t xml:space="preserve">. </w:t>
      </w:r>
      <w:r w:rsidRPr="00473126">
        <w:rPr>
          <w:color w:val="000000"/>
        </w:rPr>
        <w:t>Где здесь подводный камень? Здесь некорректно рассуждать, что </w:t>
      </w:r>
      <w:r w:rsidRPr="00473126">
        <w:rPr>
          <w:rStyle w:val="a5"/>
          <w:color w:val="000000"/>
        </w:rPr>
        <w:t>«раз половина шаров белые, то вероятность извлечения белого шара </w:t>
      </w:r>
      <w:r w:rsidRPr="00473126">
        <w:rPr>
          <w:noProof/>
          <w:color w:val="000000"/>
        </w:rPr>
        <w:drawing>
          <wp:inline distT="0" distB="0" distL="0" distR="0">
            <wp:extent cx="619125" cy="390525"/>
            <wp:effectExtent l="0" t="0" r="0" b="0"/>
            <wp:docPr id="45" name="Рисунок 45" descr="http://mathprofi.ru/m/zadachi_na_klassicheskoe_opredelenie_verojatnosti_primery_reshenij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m/zadachi_na_klassicheskoe_opredelenie_verojatnosti_primery_reshenij_clip_image01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126">
        <w:rPr>
          <w:rStyle w:val="a5"/>
          <w:color w:val="000000"/>
        </w:rPr>
        <w:t>»</w:t>
      </w:r>
      <w:r w:rsidRPr="00473126">
        <w:rPr>
          <w:color w:val="000000"/>
        </w:rPr>
        <w:t>. В классическом определении вероятности речь идёт об </w:t>
      </w:r>
      <w:r w:rsidR="00AF1716" w:rsidRPr="00473126">
        <w:rPr>
          <w:rStyle w:val="a8"/>
          <w:color w:val="000000"/>
        </w:rPr>
        <w:t>элементарных</w:t>
      </w:r>
      <w:r w:rsidRPr="00473126">
        <w:rPr>
          <w:color w:val="000000"/>
        </w:rPr>
        <w:t> исходах, и дробь </w:t>
      </w:r>
      <w:r w:rsidRPr="00473126">
        <w:rPr>
          <w:noProof/>
          <w:color w:val="000000"/>
        </w:rPr>
        <w:drawing>
          <wp:inline distT="0" distB="0" distL="0" distR="0">
            <wp:extent cx="219075" cy="390525"/>
            <wp:effectExtent l="19050" t="0" r="0" b="0"/>
            <wp:docPr id="46" name="Рисунок 46" descr="http://mathprofi.ru/m/zadachi_na_klassicheskoe_opredelenie_verojatnosti_primery_reshenij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profi.ru/m/zadachi_na_klassicheskoe_opredelenie_verojatnosti_primery_reshenij_clip_image02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126">
        <w:rPr>
          <w:color w:val="000000"/>
        </w:rPr>
        <w:t> следует обязательно прописать!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С другими пунктами аналогично, рассмотрим следующие события: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noProof/>
          <w:color w:val="000000"/>
        </w:rPr>
        <w:drawing>
          <wp:inline distT="0" distB="0" distL="0" distR="0">
            <wp:extent cx="152400" cy="161925"/>
            <wp:effectExtent l="19050" t="0" r="0" b="0"/>
            <wp:docPr id="47" name="Рисунок 47" descr="http://mathprofi.ru/m/zadachi_na_klassicheskoe_opredelenie_verojatnosti_primery_reshenij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profi.ru/m/zadachi_na_klassicheskoe_opredelenie_verojatnosti_primery_reshenij_clip_image02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126">
        <w:rPr>
          <w:color w:val="000000"/>
        </w:rPr>
        <w:t> – из урны будет извлечён красный шар;</w:t>
      </w:r>
      <w:r w:rsidRPr="00473126">
        <w:rPr>
          <w:color w:val="000000"/>
        </w:rPr>
        <w:br/>
      </w:r>
      <w:r w:rsidRPr="00473126">
        <w:rPr>
          <w:noProof/>
          <w:color w:val="000000"/>
        </w:rPr>
        <w:drawing>
          <wp:inline distT="0" distB="0" distL="0" distR="0">
            <wp:extent cx="152400" cy="180975"/>
            <wp:effectExtent l="0" t="0" r="0" b="0"/>
            <wp:docPr id="48" name="Рисунок 48" descr="http://mathprofi.ru/m/zadachi_na_klassicheskoe_opredelenie_verojatnosti_primery_reshenij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profi.ru/m/zadachi_na_klassicheskoe_opredelenie_verojatnosti_primery_reshenij_clip_image02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126">
        <w:rPr>
          <w:color w:val="000000"/>
        </w:rPr>
        <w:t> – из урны будет извлечён чёрный шар.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Событию </w:t>
      </w:r>
      <w:r w:rsidRPr="00473126">
        <w:rPr>
          <w:noProof/>
          <w:color w:val="000000"/>
        </w:rPr>
        <w:drawing>
          <wp:inline distT="0" distB="0" distL="0" distR="0">
            <wp:extent cx="152400" cy="161925"/>
            <wp:effectExtent l="19050" t="0" r="0" b="0"/>
            <wp:docPr id="49" name="Рисунок 49" descr="http://mathprofi.ru/m/zadachi_na_klassicheskoe_opredelenie_verojatnosti_primery_reshenij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m/zadachi_na_klassicheskoe_opredelenie_verojatnosti_primery_reshenij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126">
        <w:rPr>
          <w:color w:val="000000"/>
        </w:rPr>
        <w:t> благоприятствует 5 элементарных исходов, а событию </w:t>
      </w:r>
      <w:r w:rsidRPr="00473126">
        <w:rPr>
          <w:noProof/>
          <w:color w:val="000000"/>
        </w:rPr>
        <w:drawing>
          <wp:inline distT="0" distB="0" distL="0" distR="0">
            <wp:extent cx="152400" cy="180975"/>
            <wp:effectExtent l="0" t="0" r="0" b="0"/>
            <wp:docPr id="50" name="Рисунок 50" descr="http://mathprofi.ru/m/zadachi_na_klassicheskoe_opredelenie_verojatnosti_primery_reshenij_clip_image02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profi.ru/m/zadachi_na_klassicheskoe_opredelenie_verojatnosti_primery_reshenij_clip_image024_000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126">
        <w:rPr>
          <w:color w:val="000000"/>
        </w:rPr>
        <w:t> – 10 элементарных исходов. Таким образом, соответствующие вероятности:</w:t>
      </w:r>
      <w:r w:rsidRPr="00473126">
        <w:rPr>
          <w:color w:val="000000"/>
        </w:rPr>
        <w:br/>
      </w:r>
      <w:r w:rsidRPr="00473126">
        <w:rPr>
          <w:noProof/>
          <w:color w:val="000000"/>
        </w:rPr>
        <w:drawing>
          <wp:inline distT="0" distB="0" distL="0" distR="0">
            <wp:extent cx="990600" cy="809625"/>
            <wp:effectExtent l="19050" t="0" r="0" b="0"/>
            <wp:docPr id="51" name="Рисунок 51" descr="http://mathprofi.ru/m/zadachi_na_klassicheskoe_opredelenie_verojatnosti_primery_reshenij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m/zadachi_na_klassicheskoe_opredelenie_verojatnosti_primery_reshenij_clip_image02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 xml:space="preserve">Типичная проверка многих задач по </w:t>
      </w:r>
      <w:proofErr w:type="spellStart"/>
      <w:r w:rsidRPr="00473126">
        <w:rPr>
          <w:color w:val="000000"/>
        </w:rPr>
        <w:t>терверу</w:t>
      </w:r>
      <w:proofErr w:type="spellEnd"/>
      <w:r w:rsidRPr="00473126">
        <w:rPr>
          <w:color w:val="000000"/>
        </w:rPr>
        <w:t xml:space="preserve"> осуществляется с помощью </w:t>
      </w:r>
      <w:hyperlink r:id="rId15" w:history="1">
        <w:r w:rsidRPr="008E0D4B">
          <w:rPr>
            <w:rStyle w:val="a3"/>
            <w:bCs/>
            <w:color w:val="auto"/>
            <w:u w:val="none"/>
          </w:rPr>
          <w:t>теоремы о сумме вероятностей событий, образующих полную группу</w:t>
        </w:r>
      </w:hyperlink>
      <w:r w:rsidRPr="008E0D4B">
        <w:t>.</w:t>
      </w:r>
      <w:r w:rsidRPr="00473126">
        <w:rPr>
          <w:color w:val="000000"/>
        </w:rPr>
        <w:t xml:space="preserve"> В нашем случае события </w:t>
      </w:r>
      <w:r w:rsidRPr="00473126">
        <w:rPr>
          <w:noProof/>
          <w:color w:val="000000"/>
        </w:rPr>
        <w:drawing>
          <wp:inline distT="0" distB="0" distL="0" distR="0">
            <wp:extent cx="495300" cy="200025"/>
            <wp:effectExtent l="0" t="0" r="0" b="0"/>
            <wp:docPr id="52" name="Рисунок 52" descr="http://mathprofi.ru/m/zadachi_na_klassicheskoe_opredelenie_verojatnosti_primery_reshenij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profi.ru/m/zadachi_na_klassicheskoe_opredelenie_verojatnosti_primery_reshenij_clip_image03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126">
        <w:rPr>
          <w:color w:val="000000"/>
        </w:rPr>
        <w:t>образуют полную группу, а значит, сумма соответствующих вероятностей должна обязательно равняться единице: </w:t>
      </w:r>
      <w:r w:rsidRPr="00473126">
        <w:rPr>
          <w:noProof/>
          <w:color w:val="000000"/>
        </w:rPr>
        <w:drawing>
          <wp:inline distT="0" distB="0" distL="0" distR="0">
            <wp:extent cx="1485900" cy="200025"/>
            <wp:effectExtent l="0" t="0" r="0" b="0"/>
            <wp:docPr id="53" name="Рисунок 53" descr="http://mathprofi.ru/m/zadachi_na_klassicheskoe_opredelenie_verojatnosti_primery_reshenij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m/zadachi_na_klassicheskoe_opredelenie_verojatnosti_primery_reshenij_clip_image03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126">
        <w:rPr>
          <w:color w:val="000000"/>
        </w:rPr>
        <w:t>.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lastRenderedPageBreak/>
        <w:t>Проверим, так ли это: </w:t>
      </w:r>
      <w:r w:rsidRPr="00473126">
        <w:rPr>
          <w:noProof/>
          <w:color w:val="000000"/>
        </w:rPr>
        <w:drawing>
          <wp:inline distT="0" distB="0" distL="0" distR="0">
            <wp:extent cx="3228975" cy="390525"/>
            <wp:effectExtent l="0" t="0" r="0" b="0"/>
            <wp:docPr id="54" name="Рисунок 54" descr="http://mathprofi.ru/m/zadachi_na_klassicheskoe_opredelenie_verojatnosti_primery_reshenij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hprofi.ru/m/zadachi_na_klassicheskoe_opredelenie_verojatnosti_primery_reshenij_clip_image03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126">
        <w:rPr>
          <w:color w:val="000000"/>
        </w:rPr>
        <w:t>, в чём и хотелось убедиться.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rStyle w:val="a8"/>
          <w:color w:val="000000"/>
        </w:rPr>
        <w:t>Ответ</w:t>
      </w:r>
      <w:r w:rsidRPr="00473126">
        <w:rPr>
          <w:color w:val="000000"/>
        </w:rPr>
        <w:t>: </w:t>
      </w:r>
      <w:r w:rsidRPr="00473126">
        <w:rPr>
          <w:noProof/>
          <w:color w:val="000000"/>
        </w:rPr>
        <w:drawing>
          <wp:inline distT="0" distB="0" distL="0" distR="0">
            <wp:extent cx="1219200" cy="390525"/>
            <wp:effectExtent l="0" t="0" r="0" b="0"/>
            <wp:docPr id="55" name="Рисунок 55" descr="http://mathprofi.ru/m/zadachi_na_klassicheskoe_opredelenie_verojatnosti_primery_reshenij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m/zadachi_na_klassicheskoe_opredelenie_verojatnosti_primery_reshenij_clip_image03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на практике распространён «скоростной» вариант оформления </w:t>
      </w:r>
      <w:r w:rsidRPr="00473126">
        <w:rPr>
          <w:rStyle w:val="a8"/>
          <w:color w:val="000000"/>
        </w:rPr>
        <w:t>решения</w:t>
      </w:r>
      <w:r w:rsidRPr="00473126">
        <w:rPr>
          <w:color w:val="000000"/>
        </w:rPr>
        <w:t>: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Всего: 15 + 5 + 10 = 30 шаров в урне. По классическому определению:</w:t>
      </w:r>
      <w:r w:rsidRPr="00473126">
        <w:rPr>
          <w:color w:val="000000"/>
        </w:rPr>
        <w:br/>
      </w:r>
      <w:r w:rsidRPr="00473126">
        <w:rPr>
          <w:noProof/>
          <w:color w:val="000000"/>
        </w:rPr>
        <w:drawing>
          <wp:inline distT="0" distB="0" distL="0" distR="0">
            <wp:extent cx="809625" cy="390525"/>
            <wp:effectExtent l="19050" t="0" r="0" b="0"/>
            <wp:docPr id="56" name="Рисунок 56" descr="http://mathprofi.ru/m/zadachi_na_klassicheskoe_opredelenie_verojatnosti_primery_reshenij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hprofi.ru/m/zadachi_na_klassicheskoe_opredelenie_verojatnosti_primery_reshenij_clip_image038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126">
        <w:rPr>
          <w:color w:val="000000"/>
        </w:rPr>
        <w:t> – вероятность того, то из урны будет извлечён белый шар;</w:t>
      </w:r>
      <w:r w:rsidRPr="00473126">
        <w:rPr>
          <w:color w:val="000000"/>
        </w:rPr>
        <w:br/>
      </w:r>
      <w:r w:rsidRPr="00473126">
        <w:rPr>
          <w:noProof/>
          <w:color w:val="000000"/>
        </w:rPr>
        <w:drawing>
          <wp:inline distT="0" distB="0" distL="0" distR="0">
            <wp:extent cx="809625" cy="390525"/>
            <wp:effectExtent l="19050" t="0" r="0" b="0"/>
            <wp:docPr id="57" name="Рисунок 57" descr="http://mathprofi.ru/m/zadachi_na_klassicheskoe_opredelenie_verojatnosti_primery_reshenij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thprofi.ru/m/zadachi_na_klassicheskoe_opredelenie_verojatnosti_primery_reshenij_clip_image04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126">
        <w:rPr>
          <w:color w:val="000000"/>
        </w:rPr>
        <w:t> – вероятность того, то из урны будет извлечён красный шар;</w:t>
      </w:r>
      <w:r w:rsidRPr="00473126">
        <w:rPr>
          <w:color w:val="000000"/>
        </w:rPr>
        <w:br/>
      </w:r>
      <w:r w:rsidRPr="00473126">
        <w:rPr>
          <w:noProof/>
          <w:color w:val="000000"/>
        </w:rPr>
        <w:drawing>
          <wp:inline distT="0" distB="0" distL="0" distR="0">
            <wp:extent cx="800100" cy="390525"/>
            <wp:effectExtent l="19050" t="0" r="0" b="0"/>
            <wp:docPr id="58" name="Рисунок 58" descr="http://mathprofi.ru/m/zadachi_na_klassicheskoe_opredelenie_verojatnosti_primery_reshenij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hprofi.ru/m/zadachi_na_klassicheskoe_opredelenie_verojatnosti_primery_reshenij_clip_image04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126">
        <w:rPr>
          <w:color w:val="000000"/>
        </w:rPr>
        <w:t> – вероятность того, то из урны будет извлечён чёрный шар.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rStyle w:val="a8"/>
          <w:color w:val="000000"/>
        </w:rPr>
        <w:t>Ответ</w:t>
      </w:r>
      <w:r w:rsidRPr="00473126">
        <w:rPr>
          <w:color w:val="000000"/>
        </w:rPr>
        <w:t>: </w:t>
      </w:r>
      <w:r w:rsidRPr="00473126">
        <w:rPr>
          <w:noProof/>
          <w:color w:val="000000"/>
        </w:rPr>
        <w:drawing>
          <wp:inline distT="0" distB="0" distL="0" distR="0">
            <wp:extent cx="1219200" cy="390525"/>
            <wp:effectExtent l="0" t="0" r="0" b="0"/>
            <wp:docPr id="59" name="Рисунок 59" descr="http://mathprofi.ru/m/zadachi_na_klassicheskoe_opredelenie_verojatnosti_primery_reshenij_clip_image03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profi.ru/m/zadachi_na_klassicheskoe_opredelenie_verojatnosti_primery_reshenij_clip_image036_000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Однако если в условии несколько пунктов, то решение зачастую удобнее оформить первым способом, который отнимает чуть больше времени, но зато всё «раскладывает по полочкам» и позволяет легче сориентироваться в задаче.</w:t>
      </w:r>
    </w:p>
    <w:p w:rsidR="008E0D4B" w:rsidRPr="008E0D4B" w:rsidRDefault="008E0D4B" w:rsidP="008E0D4B">
      <w:pPr>
        <w:pStyle w:val="a4"/>
        <w:spacing w:before="150" w:beforeAutospacing="0" w:after="150" w:afterAutospacing="0"/>
        <w:ind w:left="150" w:right="150"/>
        <w:jc w:val="center"/>
        <w:rPr>
          <w:b/>
          <w:color w:val="000000"/>
          <w:u w:val="single"/>
        </w:rPr>
      </w:pPr>
      <w:r w:rsidRPr="008E0D4B">
        <w:rPr>
          <w:b/>
          <w:color w:val="000000"/>
          <w:u w:val="single"/>
        </w:rPr>
        <w:t>Самостоятельная работа.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  <w:u w:val="single"/>
        </w:rPr>
        <w:t>Задача 2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В магазин поступило 30 холодильников, пять из которых имеют заводской дефект. Случайным образом выбирают один холодильник. Какова вероятность того, что он будет без дефекта?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bookmarkStart w:id="0" w:name="_GoBack"/>
      <w:bookmarkEnd w:id="0"/>
      <w:r w:rsidRPr="00473126">
        <w:rPr>
          <w:color w:val="000000"/>
          <w:u w:val="single"/>
        </w:rPr>
        <w:t>Задача 3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Набирая номер телефона, абонент забыл две последние цифры, но помнит, что одна из них – ноль, а другая – нечётная. Найти вероятность того, что он наберёт правильный номер.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  <w:u w:val="single"/>
        </w:rPr>
        <w:t>Задача 4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 xml:space="preserve">Абонент забыл </w:t>
      </w:r>
      <w:proofErr w:type="spellStart"/>
      <w:r w:rsidRPr="00473126">
        <w:rPr>
          <w:color w:val="000000"/>
        </w:rPr>
        <w:t>пин</w:t>
      </w:r>
      <w:proofErr w:type="spellEnd"/>
      <w:r w:rsidRPr="00473126">
        <w:rPr>
          <w:color w:val="000000"/>
        </w:rPr>
        <w:t>-код к своей сим-карте, однако помнит, что он содержит три «пятёрки», а одна из цифр – то ли «семёрка», то ли «восьмёрка». Какова вероятность успешной авторизации с первой попытки?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  <w:u w:val="single"/>
        </w:rPr>
        <w:t>Задача 5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Найти вероятность того, что при бросании двух игральных костей в сумме выпадет: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а) пять очков;</w:t>
      </w:r>
      <w:r w:rsidRPr="00473126">
        <w:rPr>
          <w:color w:val="000000"/>
        </w:rPr>
        <w:br/>
        <w:t>б) не более четырёх очков;</w:t>
      </w:r>
      <w:r w:rsidRPr="00473126">
        <w:rPr>
          <w:color w:val="000000"/>
        </w:rPr>
        <w:br/>
        <w:t>в) от 3 до 9 очков включительно.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  <w:u w:val="single"/>
        </w:rPr>
        <w:t>Задача 6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Найти вероятность того, что при броске двух игральных костей произведение очков: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lastRenderedPageBreak/>
        <w:t>а) будет равно семи;</w:t>
      </w:r>
      <w:r w:rsidRPr="00473126">
        <w:rPr>
          <w:color w:val="000000"/>
        </w:rPr>
        <w:br/>
        <w:t>б) окажется не менее 20;</w:t>
      </w:r>
      <w:r w:rsidRPr="00473126">
        <w:rPr>
          <w:color w:val="000000"/>
        </w:rPr>
        <w:br/>
        <w:t>в) будет чётным.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  <w:u w:val="single"/>
        </w:rPr>
        <w:t>Задача 7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В лифт 20-этажного дома на первом этаже зашли 3 человека. И поехали. Найти вероятность того, что: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а) они выйдут на разных этажах</w:t>
      </w:r>
      <w:r w:rsidRPr="00473126">
        <w:rPr>
          <w:color w:val="000000"/>
        </w:rPr>
        <w:br/>
        <w:t>б) двое выйдут на одном этаже;</w:t>
      </w:r>
      <w:r w:rsidRPr="00473126">
        <w:rPr>
          <w:color w:val="000000"/>
        </w:rPr>
        <w:br/>
        <w:t>в) все выйдут на одном этаже.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  <w:u w:val="single"/>
        </w:rPr>
        <w:t>Задача 8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Подбрасывается 10 монет. Найти вероятность того, что: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 xml:space="preserve">а) на всех монетах выпадет </w:t>
      </w:r>
      <w:proofErr w:type="gramStart"/>
      <w:r w:rsidRPr="00473126">
        <w:rPr>
          <w:color w:val="000000"/>
        </w:rPr>
        <w:t>орёл;</w:t>
      </w:r>
      <w:r w:rsidRPr="00473126">
        <w:rPr>
          <w:color w:val="000000"/>
        </w:rPr>
        <w:br/>
        <w:t>б</w:t>
      </w:r>
      <w:proofErr w:type="gramEnd"/>
      <w:r w:rsidRPr="00473126">
        <w:rPr>
          <w:color w:val="000000"/>
        </w:rPr>
        <w:t>) на 9 монетах выпадет орёл, а на одной – решка;</w:t>
      </w:r>
      <w:r w:rsidRPr="00473126">
        <w:rPr>
          <w:color w:val="000000"/>
        </w:rPr>
        <w:br/>
        <w:t>в) орёл выпадет на половине монет.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  <w:u w:val="single"/>
        </w:rPr>
        <w:t>Задача 9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На семиместную скамейку случайным образом рассаживается 7 человек. Какова вероятность того, что два определённых человека окажутся рядом?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  <w:u w:val="single"/>
        </w:rPr>
        <w:t>Задача 10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На шахматную доску из 64 клеток ставят наудачу две ладьи, белого и чёрного цвета. С какой вероятностью они не будут «бить» друг друга?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  <w:u w:val="single"/>
        </w:rPr>
        <w:t>Задача 11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Какова вероятность того, что в четырех сданных картах будет один туз и один король?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  <w:u w:val="single"/>
        </w:rPr>
        <w:t>Задача 12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В ящике находится 15 качественных и 5 бракованных деталей. Наудачу извлекаются 2 детали. Найти вероятность того, что:</w:t>
      </w:r>
    </w:p>
    <w:p w:rsidR="00473126" w:rsidRPr="00473126" w:rsidRDefault="00473126" w:rsidP="00473126">
      <w:pPr>
        <w:pStyle w:val="a4"/>
        <w:spacing w:before="150" w:beforeAutospacing="0" w:after="150" w:afterAutospacing="0"/>
        <w:ind w:left="150" w:right="150"/>
        <w:rPr>
          <w:color w:val="000000"/>
        </w:rPr>
      </w:pPr>
      <w:r w:rsidRPr="00473126">
        <w:rPr>
          <w:color w:val="000000"/>
        </w:rPr>
        <w:t>а) обе детали будут качественными;</w:t>
      </w:r>
      <w:r w:rsidRPr="00473126">
        <w:rPr>
          <w:color w:val="000000"/>
        </w:rPr>
        <w:br/>
        <w:t>б) одна деталь будет качественной, а одна – бракованной;</w:t>
      </w:r>
      <w:r w:rsidRPr="00473126">
        <w:rPr>
          <w:color w:val="000000"/>
        </w:rPr>
        <w:br/>
        <w:t>в) обе детали бракованны.</w:t>
      </w:r>
    </w:p>
    <w:p w:rsidR="00473126" w:rsidRPr="00473126" w:rsidRDefault="00473126" w:rsidP="00473126">
      <w:pPr>
        <w:pStyle w:val="a4"/>
        <w:spacing w:before="0" w:beforeAutospacing="0" w:after="0" w:afterAutospacing="0"/>
        <w:rPr>
          <w:color w:val="000000"/>
        </w:rPr>
      </w:pPr>
    </w:p>
    <w:p w:rsidR="000D6CBE" w:rsidRPr="0077680E" w:rsidRDefault="000D6CBE" w:rsidP="004731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80E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Домашние задание: §65 - §69</w:t>
      </w:r>
    </w:p>
    <w:p w:rsidR="000D6CBE" w:rsidRPr="0077680E" w:rsidRDefault="00D86A40" w:rsidP="0077680E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23" w:anchor="prettyPhoto" w:history="1">
        <w:r w:rsidR="000D6CBE" w:rsidRPr="0077680E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https://rabochaya-tetrad-uchebnik.com/algebra/uchebnik_algebra_10-11_klass_alimov_kolyagin/index.html#prettyPhoto</w:t>
        </w:r>
      </w:hyperlink>
    </w:p>
    <w:p w:rsidR="000D6CBE" w:rsidRPr="0077680E" w:rsidRDefault="000D6CBE" w:rsidP="0077680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8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77680E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классы:учеб</w:t>
      </w:r>
      <w:proofErr w:type="spellEnd"/>
      <w:proofErr w:type="gramEnd"/>
      <w:r w:rsidRPr="007768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Для </w:t>
      </w:r>
      <w:proofErr w:type="spellStart"/>
      <w:r w:rsidRPr="0077680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общеобразрват</w:t>
      </w:r>
      <w:proofErr w:type="spellEnd"/>
      <w:r w:rsidRPr="007768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proofErr w:type="gramStart"/>
      <w:r w:rsidRPr="0077680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Организаций:базовый</w:t>
      </w:r>
      <w:proofErr w:type="spellEnd"/>
      <w:proofErr w:type="gramEnd"/>
      <w:r w:rsidRPr="007768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углубленный уровни/Ш.А Алимов и др. – </w:t>
      </w:r>
      <w:proofErr w:type="spellStart"/>
      <w:r w:rsidRPr="0077680E">
        <w:rPr>
          <w:rFonts w:ascii="Times New Roman" w:eastAsiaTheme="minorHAnsi" w:hAnsi="Times New Roman" w:cs="Times New Roman"/>
          <w:sz w:val="24"/>
          <w:szCs w:val="24"/>
          <w:lang w:eastAsia="en-US"/>
        </w:rPr>
        <w:t>М.:Просвещение</w:t>
      </w:r>
      <w:proofErr w:type="spellEnd"/>
      <w:r w:rsidRPr="0077680E">
        <w:rPr>
          <w:rFonts w:ascii="Times New Roman" w:eastAsiaTheme="minorHAnsi" w:hAnsi="Times New Roman" w:cs="Times New Roman"/>
          <w:sz w:val="24"/>
          <w:szCs w:val="24"/>
          <w:lang w:eastAsia="en-US"/>
        </w:rPr>
        <w:t>, 2019</w:t>
      </w:r>
    </w:p>
    <w:p w:rsidR="000D6CBE" w:rsidRPr="0077680E" w:rsidRDefault="000D6CBE" w:rsidP="0077680E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7680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задания для проверки присылайте на электронную почту:</w:t>
      </w:r>
    </w:p>
    <w:p w:rsidR="000D6CBE" w:rsidRPr="0077680E" w:rsidRDefault="00D86A40" w:rsidP="0077680E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4" w:history="1">
        <w:r w:rsidR="000D6CBE" w:rsidRPr="0077680E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0D6CBE" w:rsidRPr="0077680E" w:rsidRDefault="000D6CBE" w:rsidP="0077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6CBE" w:rsidRPr="0077680E" w:rsidSect="0085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5A01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349A9"/>
    <w:multiLevelType w:val="multilevel"/>
    <w:tmpl w:val="19C6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CBE"/>
    <w:rsid w:val="000D6CBE"/>
    <w:rsid w:val="003C1A4C"/>
    <w:rsid w:val="00473126"/>
    <w:rsid w:val="0077680E"/>
    <w:rsid w:val="008575F2"/>
    <w:rsid w:val="008E0D4B"/>
    <w:rsid w:val="00AF1716"/>
    <w:rsid w:val="00C924FB"/>
    <w:rsid w:val="00D86A40"/>
    <w:rsid w:val="00E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3B3FF-5DF1-4FB4-A8F2-6C36F762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F2"/>
  </w:style>
  <w:style w:type="paragraph" w:styleId="2">
    <w:name w:val="heading 2"/>
    <w:basedOn w:val="a"/>
    <w:link w:val="20"/>
    <w:uiPriority w:val="9"/>
    <w:qFormat/>
    <w:rsid w:val="000D6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C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D6C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jax">
    <w:name w:val="mathjax"/>
    <w:basedOn w:val="a0"/>
    <w:rsid w:val="000D6CBE"/>
  </w:style>
  <w:style w:type="character" w:customStyle="1" w:styleId="math">
    <w:name w:val="math"/>
    <w:basedOn w:val="a0"/>
    <w:rsid w:val="000D6CBE"/>
  </w:style>
  <w:style w:type="character" w:customStyle="1" w:styleId="mrow">
    <w:name w:val="mrow"/>
    <w:basedOn w:val="a0"/>
    <w:rsid w:val="000D6CBE"/>
  </w:style>
  <w:style w:type="character" w:customStyle="1" w:styleId="mi">
    <w:name w:val="mi"/>
    <w:basedOn w:val="a0"/>
    <w:rsid w:val="000D6CBE"/>
  </w:style>
  <w:style w:type="character" w:customStyle="1" w:styleId="mjxassistivemathml">
    <w:name w:val="mjx_assistive_mathml"/>
    <w:basedOn w:val="a0"/>
    <w:rsid w:val="000D6CBE"/>
  </w:style>
  <w:style w:type="character" w:customStyle="1" w:styleId="texatom">
    <w:name w:val="texatom"/>
    <w:basedOn w:val="a0"/>
    <w:rsid w:val="000D6CBE"/>
  </w:style>
  <w:style w:type="character" w:customStyle="1" w:styleId="munderover">
    <w:name w:val="munderover"/>
    <w:basedOn w:val="a0"/>
    <w:rsid w:val="000D6CBE"/>
  </w:style>
  <w:style w:type="character" w:customStyle="1" w:styleId="mo">
    <w:name w:val="mo"/>
    <w:basedOn w:val="a0"/>
    <w:rsid w:val="000D6CBE"/>
  </w:style>
  <w:style w:type="character" w:customStyle="1" w:styleId="mn">
    <w:name w:val="mn"/>
    <w:basedOn w:val="a0"/>
    <w:rsid w:val="000D6CBE"/>
  </w:style>
  <w:style w:type="paragraph" w:customStyle="1" w:styleId="primer">
    <w:name w:val="primer"/>
    <w:basedOn w:val="a"/>
    <w:rsid w:val="000D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D6CBE"/>
    <w:rPr>
      <w:i/>
      <w:iCs/>
    </w:rPr>
  </w:style>
  <w:style w:type="character" w:customStyle="1" w:styleId="msubsup">
    <w:name w:val="msubsup"/>
    <w:basedOn w:val="a0"/>
    <w:rsid w:val="000D6CBE"/>
  </w:style>
  <w:style w:type="character" w:customStyle="1" w:styleId="mfrac">
    <w:name w:val="mfrac"/>
    <w:basedOn w:val="a0"/>
    <w:rsid w:val="000D6CBE"/>
  </w:style>
  <w:style w:type="character" w:customStyle="1" w:styleId="mspace">
    <w:name w:val="mspace"/>
    <w:basedOn w:val="a0"/>
    <w:rsid w:val="000D6CBE"/>
  </w:style>
  <w:style w:type="paragraph" w:styleId="a6">
    <w:name w:val="Balloon Text"/>
    <w:basedOn w:val="a"/>
    <w:link w:val="a7"/>
    <w:uiPriority w:val="99"/>
    <w:semiHidden/>
    <w:unhideWhenUsed/>
    <w:rsid w:val="0077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80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73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5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0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0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7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hyperlink" Target="mailto:asd20022006@yandex.ru" TargetMode="External"/><Relationship Id="rId5" Type="http://schemas.openxmlformats.org/officeDocument/2006/relationships/hyperlink" Target="https://www.mathelp.spb.ru/book2/tv4.htm" TargetMode="External"/><Relationship Id="rId15" Type="http://schemas.openxmlformats.org/officeDocument/2006/relationships/hyperlink" Target="http://mathprofi.ru/teorija_verojatnostei.html" TargetMode="External"/><Relationship Id="rId23" Type="http://schemas.openxmlformats.org/officeDocument/2006/relationships/hyperlink" Target="https://rabochaya-tetrad-uchebnik.com/algebra/uchebnik_algebra_10-11_klass_alimov_kolyagin/index.html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Колледж_1</cp:lastModifiedBy>
  <cp:revision>5</cp:revision>
  <dcterms:created xsi:type="dcterms:W3CDTF">2020-05-17T19:39:00Z</dcterms:created>
  <dcterms:modified xsi:type="dcterms:W3CDTF">2020-05-18T08:14:00Z</dcterms:modified>
</cp:coreProperties>
</file>